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A5" w:rsidRPr="004B00A5" w:rsidRDefault="004B00A5" w:rsidP="004B00A5">
      <w:pPr>
        <w:shd w:val="clear" w:color="auto" w:fill="FFFFFF"/>
        <w:outlineLvl w:val="0"/>
        <w:rPr>
          <w:color w:val="0054A6"/>
          <w:kern w:val="36"/>
          <w:sz w:val="45"/>
          <w:szCs w:val="45"/>
        </w:rPr>
      </w:pPr>
      <w:r w:rsidRPr="004B00A5">
        <w:rPr>
          <w:color w:val="0054A6"/>
          <w:kern w:val="36"/>
          <w:sz w:val="45"/>
          <w:szCs w:val="45"/>
        </w:rPr>
        <w:t>Хорватский сценарий для Донбасса? Исключено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B00A5" w:rsidRPr="004B00A5" w:rsidTr="004B00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75CF" w:rsidRDefault="00E60BD1" w:rsidP="004B00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t xml:space="preserve">   </w:t>
            </w:r>
          </w:p>
          <w:p w:rsidR="005E75CF" w:rsidRPr="004B00A5" w:rsidRDefault="005E75CF" w:rsidP="004B00A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00A5" w:rsidRPr="004B00A5" w:rsidTr="004B00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00A5" w:rsidRPr="004B00A5" w:rsidRDefault="004B00A5" w:rsidP="004B00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B00A5" w:rsidRPr="004B00A5" w:rsidTr="004B00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4" name="Рисунок 4" descr="http://www.fondsk.ru/images/news/2016/05/24/s4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sk.ru/images/news/2016/05/24/s4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00A5">
              <w:rPr>
                <w:rFonts w:ascii="Arial" w:hAnsi="Arial" w:cs="Arial"/>
                <w:color w:val="000000"/>
              </w:rPr>
              <w:t>В связи с появлением сообщений о том, что некоторые украинские политики </w:t>
            </w:r>
            <w:hyperlink r:id="rId10" w:tgtFrame="_blank" w:history="1">
              <w:r w:rsidRPr="004B00A5">
                <w:rPr>
                  <w:rFonts w:ascii="Arial" w:hAnsi="Arial" w:cs="Arial"/>
                  <w:color w:val="3399CC"/>
                  <w:u w:val="single"/>
                </w:rPr>
                <w:t>продвигают</w:t>
              </w:r>
            </w:hyperlink>
            <w:r w:rsidRPr="004B00A5">
              <w:rPr>
                <w:rFonts w:ascii="Arial" w:hAnsi="Arial" w:cs="Arial"/>
                <w:color w:val="000000"/>
              </w:rPr>
              <w:t xml:space="preserve"> так называемый хорватский сценарий для Донбасса, следует напомнить, как выглядело в условиях 1995 года уничтожение хорватами Республики Сербская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(РСК) и почему подобная аналогия, мягко говоря, хромает на обе ноги.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>Для хорватской армии это была не просто вооружённая акция, а хорошо спланированная многоэтапная армейская операция при полной поддержке США и Германии с подключением миротворческих сил ООН, размещённых на территории Хорватии.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РСК провозгласила свою независимость в 1991 г. после того, как Хорватия отказалась предоставить сербам автономию. В 1992 г. по границе между восставшими сербами и хорватами разместились миротворческие силы ООН. До 1995 г., находясь под защитой «голубых касок», РСК сумела укрепить независимую от Хорватии территорию, состоявшую из трёх областей. Были созданы политические структуры –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скупщина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>, правительство, министерства, органы внутренних дел, армия, развивалась экономика.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Летом 1994 г., хотя и с большим трудом, начались переговоры по экономическим вопросам между Хорватией и РСК. Осенью начали работать совместные комитеты (военный и по сельскому хозяйству), которые обсуждали вопросы прекращения огня, проезда гуманитарных конвоев, выдачи родственникам тел погибших в боях, организации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сельхозработ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. В начале декабря 1994 г. был подписан Договор о нормализации экономических отношений между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Краиной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и Хорватией.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В январе 1995 г.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Книну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(столица Республики Сербская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) и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Загребу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был предложен план политического урегулирования, так называемый план «Загреб-4», согласно которому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Книнская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область должна получить автономию, а Западная и Восточная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Славония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– интегрироваться в Хорватию. Однако хорватов этот план не устраивал. Они продолжали готовить операцию по возвращению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Краины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военным путём.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4762500" cy="5120640"/>
                  <wp:effectExtent l="0" t="0" r="0" b="3810"/>
                  <wp:docPr id="3" name="Рисунок 3" descr="http://www.geopolitics.ru/wp-content/uploads/2014/01/500px-%D0%A0%D0%B5%D1%81%D0%BF%D1%83%D0%B1%D0%BB%D0%B8%D0%BA%D0%B0_%D0%A1%D0%B5%D1%80%D0%B1%D1%81%D0%BA%D0%B0%D1%8F_%D0%9A%D1%80%D0%B0%D0%B8%D0%BD%D0%B0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eopolitics.ru/wp-content/uploads/2014/01/500px-%D0%A0%D0%B5%D1%81%D0%BF%D1%83%D0%B1%D0%BB%D0%B8%D0%BA%D0%B0_%D0%A1%D0%B5%D1%80%D0%B1%D1%81%D0%BA%D0%B0%D1%8F_%D0%9A%D1%80%D0%B0%D0%B8%D0%BD%D0%B0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12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В мае и августе 1995 г. хорватские вооружённые силы провели две военные операции, результатом которых должно было стать присоединение к Хорватии двух из трёх территорий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Краины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>, имея в виду, что эти территории должны были быть присоединены без людей (без сербов).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Первая операция под названием «Блеск» (1 мая 1995 г.) формально имела целью освободить 40-километровый участок автомагистрали Белград -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Загреб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, блокированной сербами после ряда инцидентов на этой дороге. На самом деле в ходе операции должна была быть произведена зачистка Западной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от сербов.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7345680" cy="5715000"/>
                  <wp:effectExtent l="0" t="0" r="7620" b="0"/>
                  <wp:docPr id="2" name="Рисунок 2" descr="http://www.coldwar.ru/conflicts/yugoslaviya/ble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dwar.ru/conflicts/yugoslaviya/ble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68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Ещё в 1991 г. сербское население было полностью изгнано из 280 сёл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Западной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, а 1 и 2 мая 1995 г. сербов не стало и в остальных 65 сёлах. Перед началом операции хорватские власти заручились дипломатической поддержкой Германии и США, а также добились изменения статуса миротворцев в Хорватии.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 xml:space="preserve">Численность войск (четыре гвардейских бригады, одно соединение и три отряда), участвовавших в операции «Блеск» в Западной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>, составляла 12 тыс. человек.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Им противостояли 4 тыс. сербских солдат РСК и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вооруженное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население сёл. В 2.30 ночи 1 мая командир Оперативной зоны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Беловар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хорватский полковник Лука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Джанко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направил в штаб миротворцев депешу, в которой те оповещались о возможных военных действиях. Миротворцам предлагалось отойти в безопасные места. Они отошли, и 15 тыс. сербского населения Западной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остались без защиты.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Уже к концу дня 2 мая сопротивление сербов было локализовано, а население, попавшее в окружение, истреблено хорватскими солдатами. Были уничтожены более 9 тыс. домов, разрушены все православные церкви. В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Пакраце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, например, хорваты убивали всех оставшихся в городе мирных жителей, трупы сжигали, женщин и детей уводили в неизвестном направлении. По разным данным, в городе погибло от 2 до 5 тыс. человек. Наблюдателям ООН удалось зафиксировать, что из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Пакраца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вывезли в неизвестном направлении 15 автобусов с гражданскими лицами, о судьбе которых оставалось только гадать.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До 5 мая хорватские власти не позволяли представителям международных и гуманитарных организаций посетить места боёв, захваченные города и сёла, чтобы успеть уничтожить следы военных преступлений. Число беженцев из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Западной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составило более 20 тыс. человек.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 xml:space="preserve">Создававшаяся несколько лет система охраняемых ООН районов потерпела в Западной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полное крушение. </w:t>
            </w:r>
            <w:proofErr w:type="gramEnd"/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Молчаливое одобрение «мировым сообществом» этнических чисток в Западной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Славонии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позволило Хорватии в августе 1995 г. провести новое наступление на самые крупные территории РСК, так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называемую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Книнскую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Краину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. Несмотря на решение руководства РСК начать мирные переговоры с Загребом, на предложенную заместителем Генерального секретаря ООН Ясуши Акаши программу мирного урегулирования, Хорватия начала осуществлять план разгрома РСК. Операция проводилась под кодовым названием «Буря». 4 августа 100-тысячная хорватская армия начала широкомасштабное наступление на Республику Сербская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по всей линии фронта, составлявшей 630 км. Массированная артподготовка продолжалась целый день, заградительный огонь покрывал метр за метром каждый уголок небольшого города – столицы РСК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Книн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. Затем на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Книн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из двух направлений пошли танки и пехота.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693920" cy="6667500"/>
                  <wp:effectExtent l="0" t="0" r="0" b="0"/>
                  <wp:docPr id="1" name="Рисунок 1" descr="http://www.coldwar.ru/conflicts/yugoslaviya/bur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dwar.ru/conflicts/yugoslaviya/bur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920" cy="666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Армия РСК была рассеяна и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неорганизованно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отступала, население бежало из своих домов. Нагруженные автомобили, тракторы, грузовики в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спешке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покидали город, создав колонну длиной более десяти километров. Колонна беженцев была у хорватских военных как на ладони, и они огнём с земли и с воздуха расстреливали ничем не защищённых людей.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Входя в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Краину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, хорватская армия жгла и уничтожала на своём пути буквально всё. Хорватские офицеры использовали разведывательные данные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самолетов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НАТО, патрулировавших территорию военных действий. «Сегодняшняя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– это спалённая и опустошённая земля, попавшая в руки вандалов», – писал бельгийский журналист, попавший в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Краину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в дни хорватского наступления (1).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B00A5">
              <w:rPr>
                <w:rFonts w:ascii="Arial" w:hAnsi="Arial" w:cs="Arial"/>
                <w:color w:val="000000"/>
              </w:rPr>
              <w:t xml:space="preserve">Специальная миссия ЕС, посетившая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Краину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>, зафиксировала, что в период с 7 по 22 августа на территории сектора «Юг» было уничтожено от 60 до 80% имущества сербов, что сербов осталось всего 2–5% от числа тех, кто здесь жил раньше, что уничтожен весь скот, что сёла сожжены дотла (2) . </w:t>
            </w:r>
            <w:proofErr w:type="gramEnd"/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А что же «мировое сообщество»? Свой голос подали лишь Москва и Белград, но тогда их никто не услышал. 10 августа 1995 года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СБ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ООН принял резолюцию</w:t>
            </w:r>
            <w:r w:rsidR="00B117EA">
              <w:rPr>
                <w:rFonts w:ascii="Arial" w:hAnsi="Arial" w:cs="Arial"/>
                <w:color w:val="000000"/>
              </w:rPr>
              <w:t xml:space="preserve"> </w:t>
            </w:r>
            <w:r w:rsidRPr="004B00A5">
              <w:rPr>
                <w:rFonts w:ascii="Arial" w:hAnsi="Arial" w:cs="Arial"/>
                <w:color w:val="000000"/>
              </w:rPr>
              <w:t>№1009, призывавшую Загреб прекратить военные действия и позволить гуманитарным организациям прибыть в РСК, но в целом международные организации, как и ведущие державы, остались абсолютно равнодушными к сербской трагедии.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Если сегодня кто-то на Украине, глядя на результаты хорватских операций «Блеск» и «Буря», когда земли, очищенные от сербов, вернулись в состав Хорватии, подумывает о том, чтобы повторить подобное с Донбассом, то ему надо 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протрезветь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>. За двадцать лет мир очень изменился. 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Если Республика Сербская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имела слабую армию, то защитники Донбасса уже убедительно продемонстрировали и силу своей военной организации, и решимость отстоять свою землю. Если в 1995 г. военные действия Хорватии поддержали Германия и США, то сегодня эти и другие западные державы </w:t>
            </w:r>
            <w:proofErr w:type="spellStart"/>
            <w:r w:rsidR="00A24022">
              <w:fldChar w:fldCharType="begin"/>
            </w:r>
            <w:r w:rsidR="00A24022">
              <w:instrText xml:space="preserve"> HYPERLINK "http://www.fondsk.ru/news/2015/02/20/k-prinatiu</w:instrText>
            </w:r>
            <w:r w:rsidR="00A24022">
              <w:instrText xml:space="preserve">-novoj-rezolucii-sb-oon-po-ukraine-31848.html" \t "_blank" </w:instrText>
            </w:r>
            <w:r w:rsidR="00A24022">
              <w:fldChar w:fldCharType="separate"/>
            </w:r>
            <w:r w:rsidRPr="004B00A5">
              <w:rPr>
                <w:rFonts w:ascii="Arial" w:hAnsi="Arial" w:cs="Arial"/>
                <w:color w:val="3399CC"/>
                <w:u w:val="single"/>
              </w:rPr>
              <w:t>связаны</w:t>
            </w:r>
            <w:r w:rsidR="00A24022">
              <w:rPr>
                <w:rFonts w:ascii="Arial" w:hAnsi="Arial" w:cs="Arial"/>
                <w:color w:val="3399CC"/>
                <w:u w:val="single"/>
              </w:rPr>
              <w:fldChar w:fldCharType="end"/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е</w:t>
            </w:r>
            <w:proofErr w:type="spellEnd"/>
            <w:r w:rsidR="00B117E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диногласно</w:t>
            </w:r>
            <w:proofErr w:type="spellEnd"/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принятой 17 февраля 2015 года резолюцией № 2202 Совета Безопасности ООН, неотъемлемой составной частью которой являются «Комплекс мер по выполнению Минских соглашений», а также Декларация президентов России, Франции, Украины и канцлера ФРГ в поддержку данного «Комплекса мер».</w:t>
            </w:r>
          </w:p>
          <w:p w:rsidR="004B00A5" w:rsidRPr="004B00A5" w:rsidRDefault="004B00A5" w:rsidP="004B00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</w:rPr>
              <w:t xml:space="preserve">И наконец Республика Сербская </w:t>
            </w:r>
            <w:proofErr w:type="spellStart"/>
            <w:r w:rsidRPr="004B00A5">
              <w:rPr>
                <w:rFonts w:ascii="Arial" w:hAnsi="Arial" w:cs="Arial"/>
                <w:color w:val="000000"/>
              </w:rPr>
              <w:t>Краина</w:t>
            </w:r>
            <w:proofErr w:type="spellEnd"/>
            <w:r w:rsidRPr="004B00A5">
              <w:rPr>
                <w:rFonts w:ascii="Arial" w:hAnsi="Arial" w:cs="Arial"/>
                <w:color w:val="000000"/>
              </w:rPr>
              <w:t xml:space="preserve"> не получила никакой поддержки извне (перед хорватской армией расступились даже миротворческие силы) и была брошена на произвол судьбы. Однако</w:t>
            </w:r>
            <w:proofErr w:type="gramStart"/>
            <w:r w:rsidRPr="004B00A5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4B00A5">
              <w:rPr>
                <w:rFonts w:ascii="Arial" w:hAnsi="Arial" w:cs="Arial"/>
                <w:color w:val="000000"/>
              </w:rPr>
              <w:t xml:space="preserve"> если какой-то безумец в Киеве вообразит, что подобное может повториться сегодня с Донбассом, он здорово просчитается. А вместе с ним просчитается вся Украина.</w:t>
            </w:r>
          </w:p>
          <w:p w:rsidR="004B00A5" w:rsidRPr="004B00A5" w:rsidRDefault="004B00A5" w:rsidP="004B00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Bilten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Vesti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Moskva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, 1995. 22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avg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4B00A5" w:rsidRPr="004B00A5" w:rsidRDefault="004B00A5" w:rsidP="004B00A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Српска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Крајина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, август 1995: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Изгон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Жртве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агресије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Хрватске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војске</w:t>
            </w:r>
            <w:proofErr w:type="spellEnd"/>
            <w:proofErr w:type="gram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Републику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Српску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Крајину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Београд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Цетиње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Веритас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Светигора</w:t>
            </w:r>
            <w:proofErr w:type="spellEnd"/>
            <w:r w:rsidRPr="004B00A5">
              <w:rPr>
                <w:rFonts w:ascii="Arial" w:hAnsi="Arial" w:cs="Arial"/>
                <w:color w:val="000000"/>
                <w:sz w:val="21"/>
                <w:szCs w:val="21"/>
              </w:rPr>
              <w:t>, 1997. С. 75</w:t>
            </w:r>
          </w:p>
        </w:tc>
      </w:tr>
    </w:tbl>
    <w:p w:rsidR="004B00A5" w:rsidRDefault="00A24022" w:rsidP="00C00D70">
      <w:pPr>
        <w:pStyle w:val="p1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lastRenderedPageBreak/>
        <w:t>Опубликовано:</w:t>
      </w:r>
      <w:bookmarkStart w:id="0" w:name="_GoBack"/>
      <w:bookmarkEnd w:id="0"/>
    </w:p>
    <w:p w:rsidR="00A24022" w:rsidRPr="00A24022" w:rsidRDefault="00A24022" w:rsidP="00C00D70">
      <w:pPr>
        <w:pStyle w:val="p1"/>
        <w:rPr>
          <w:rStyle w:val="s1"/>
        </w:rPr>
      </w:pPr>
      <w:r w:rsidRPr="00A24022">
        <w:t xml:space="preserve">.// </w:t>
      </w:r>
      <w:hyperlink r:id="rId14" w:history="1">
        <w:r w:rsidRPr="00A24022">
          <w:rPr>
            <w:rStyle w:val="af0"/>
          </w:rPr>
          <w:t>http://www.fondsk.ru/news/2016/05/24/horvatskiy-scenariy-dlya-donbassa-isklucheno-40417.html</w:t>
        </w:r>
      </w:hyperlink>
    </w:p>
    <w:p w:rsidR="004B00A5" w:rsidRDefault="004B00A5" w:rsidP="00C00D70">
      <w:pPr>
        <w:pStyle w:val="p1"/>
        <w:rPr>
          <w:rStyle w:val="s1"/>
          <w:sz w:val="28"/>
          <w:szCs w:val="28"/>
        </w:rPr>
      </w:pPr>
    </w:p>
    <w:sectPr w:rsidR="004B00A5" w:rsidSect="00E6589C">
      <w:headerReference w:type="default" r:id="rId15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5F" w:rsidRDefault="005A175F" w:rsidP="00EC7890">
      <w:r>
        <w:separator/>
      </w:r>
    </w:p>
  </w:endnote>
  <w:endnote w:type="continuationSeparator" w:id="0">
    <w:p w:rsidR="005A175F" w:rsidRDefault="005A175F" w:rsidP="00EC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5F" w:rsidRDefault="005A175F" w:rsidP="00EC7890">
      <w:r>
        <w:separator/>
      </w:r>
    </w:p>
  </w:footnote>
  <w:footnote w:type="continuationSeparator" w:id="0">
    <w:p w:rsidR="005A175F" w:rsidRDefault="005A175F" w:rsidP="00EC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457129"/>
      <w:docPartObj>
        <w:docPartGallery w:val="Page Numbers (Top of Page)"/>
        <w:docPartUnique/>
      </w:docPartObj>
    </w:sdtPr>
    <w:sdtEndPr/>
    <w:sdtContent>
      <w:p w:rsidR="00EC7890" w:rsidRDefault="00EC78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22">
          <w:rPr>
            <w:noProof/>
          </w:rPr>
          <w:t>6</w:t>
        </w:r>
        <w:r>
          <w:fldChar w:fldCharType="end"/>
        </w:r>
      </w:p>
    </w:sdtContent>
  </w:sdt>
  <w:p w:rsidR="00EC7890" w:rsidRDefault="00EC7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761"/>
    <w:multiLevelType w:val="hybridMultilevel"/>
    <w:tmpl w:val="978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29"/>
    <w:multiLevelType w:val="hybridMultilevel"/>
    <w:tmpl w:val="4F5E4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0"/>
    <w:rsid w:val="000033FE"/>
    <w:rsid w:val="00013C6F"/>
    <w:rsid w:val="00040B6A"/>
    <w:rsid w:val="000C557B"/>
    <w:rsid w:val="00103EEA"/>
    <w:rsid w:val="001212DD"/>
    <w:rsid w:val="001D647D"/>
    <w:rsid w:val="00230035"/>
    <w:rsid w:val="003234A2"/>
    <w:rsid w:val="00331285"/>
    <w:rsid w:val="003B0B90"/>
    <w:rsid w:val="003E4084"/>
    <w:rsid w:val="0041167F"/>
    <w:rsid w:val="004908FA"/>
    <w:rsid w:val="004A1295"/>
    <w:rsid w:val="004B00A5"/>
    <w:rsid w:val="004F56D6"/>
    <w:rsid w:val="004F611E"/>
    <w:rsid w:val="00500256"/>
    <w:rsid w:val="00523E88"/>
    <w:rsid w:val="005565E8"/>
    <w:rsid w:val="005A175F"/>
    <w:rsid w:val="005E75CF"/>
    <w:rsid w:val="005F1E18"/>
    <w:rsid w:val="005F34B8"/>
    <w:rsid w:val="00642348"/>
    <w:rsid w:val="00646AE5"/>
    <w:rsid w:val="00672A07"/>
    <w:rsid w:val="00685B27"/>
    <w:rsid w:val="006E150B"/>
    <w:rsid w:val="00782DFD"/>
    <w:rsid w:val="00797C4D"/>
    <w:rsid w:val="007A1B8B"/>
    <w:rsid w:val="007B2C72"/>
    <w:rsid w:val="0082107F"/>
    <w:rsid w:val="008B4950"/>
    <w:rsid w:val="009B4391"/>
    <w:rsid w:val="009B5EB6"/>
    <w:rsid w:val="009D04CD"/>
    <w:rsid w:val="009F023B"/>
    <w:rsid w:val="00A20623"/>
    <w:rsid w:val="00A24022"/>
    <w:rsid w:val="00A44271"/>
    <w:rsid w:val="00A506DB"/>
    <w:rsid w:val="00AF2CF8"/>
    <w:rsid w:val="00AF78BA"/>
    <w:rsid w:val="00B117EA"/>
    <w:rsid w:val="00B37719"/>
    <w:rsid w:val="00B73590"/>
    <w:rsid w:val="00B8370E"/>
    <w:rsid w:val="00C00D70"/>
    <w:rsid w:val="00C01E57"/>
    <w:rsid w:val="00C3559A"/>
    <w:rsid w:val="00C50056"/>
    <w:rsid w:val="00C66E95"/>
    <w:rsid w:val="00C97EF4"/>
    <w:rsid w:val="00CE3EFB"/>
    <w:rsid w:val="00D13845"/>
    <w:rsid w:val="00E22D0A"/>
    <w:rsid w:val="00E60BD1"/>
    <w:rsid w:val="00E6589C"/>
    <w:rsid w:val="00E74CEB"/>
    <w:rsid w:val="00EC7890"/>
    <w:rsid w:val="00ED1788"/>
    <w:rsid w:val="00F23336"/>
    <w:rsid w:val="00F256D8"/>
    <w:rsid w:val="00FD498A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0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B00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00D70"/>
    <w:pPr>
      <w:spacing w:before="100" w:beforeAutospacing="1" w:after="100" w:afterAutospacing="1"/>
    </w:pPr>
  </w:style>
  <w:style w:type="character" w:customStyle="1" w:styleId="s1">
    <w:name w:val="s1"/>
    <w:basedOn w:val="a0"/>
    <w:rsid w:val="00C00D70"/>
  </w:style>
  <w:style w:type="paragraph" w:styleId="a3">
    <w:name w:val="Signature"/>
    <w:basedOn w:val="a"/>
    <w:link w:val="a4"/>
    <w:rsid w:val="007A1B8B"/>
    <w:pPr>
      <w:pBdr>
        <w:top w:val="single" w:sz="2" w:space="0" w:color="auto"/>
        <w:between w:val="single" w:sz="2" w:space="4" w:color="auto"/>
      </w:pBdr>
      <w:autoSpaceDE w:val="0"/>
      <w:autoSpaceDN w:val="0"/>
      <w:adjustRightInd w:val="0"/>
      <w:spacing w:line="204" w:lineRule="atLeast"/>
      <w:ind w:left="567" w:firstLine="340"/>
      <w:jc w:val="both"/>
    </w:pPr>
    <w:rPr>
      <w:color w:val="000000"/>
      <w:sz w:val="16"/>
      <w:szCs w:val="16"/>
    </w:rPr>
  </w:style>
  <w:style w:type="character" w:customStyle="1" w:styleId="a4">
    <w:name w:val="Подпись Знак"/>
    <w:basedOn w:val="a0"/>
    <w:link w:val="a3"/>
    <w:rsid w:val="007A1B8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rsid w:val="00672A07"/>
    <w:pPr>
      <w:autoSpaceDE w:val="0"/>
      <w:autoSpaceDN w:val="0"/>
      <w:adjustRightInd w:val="0"/>
      <w:spacing w:line="204" w:lineRule="atLeast"/>
      <w:ind w:firstLine="340"/>
      <w:jc w:val="both"/>
    </w:pPr>
    <w:rPr>
      <w:color w:val="000000"/>
      <w:spacing w:val="-15"/>
      <w:sz w:val="18"/>
      <w:szCs w:val="18"/>
    </w:rPr>
  </w:style>
  <w:style w:type="character" w:customStyle="1" w:styleId="a6">
    <w:name w:val="Основной текст Знак"/>
    <w:basedOn w:val="a0"/>
    <w:link w:val="a5"/>
    <w:rsid w:val="00672A07"/>
    <w:rPr>
      <w:rFonts w:ascii="Times New Roman" w:eastAsia="Times New Roman" w:hAnsi="Times New Roman" w:cs="Times New Roman"/>
      <w:color w:val="000000"/>
      <w:spacing w:val="-15"/>
      <w:sz w:val="18"/>
      <w:szCs w:val="18"/>
      <w:lang w:eastAsia="ru-RU"/>
    </w:rPr>
  </w:style>
  <w:style w:type="paragraph" w:customStyle="1" w:styleId="11">
    <w:name w:val="Основной текст 1"/>
    <w:rsid w:val="00EC7890"/>
    <w:pPr>
      <w:widowControl/>
      <w:autoSpaceDE w:val="0"/>
      <w:autoSpaceDN w:val="0"/>
      <w:adjustRightInd w:val="0"/>
      <w:spacing w:line="204" w:lineRule="atLeast"/>
      <w:jc w:val="both"/>
    </w:pPr>
    <w:rPr>
      <w:rFonts w:ascii="Times New Roman" w:eastAsia="Times New Roman" w:hAnsi="Times New Roman" w:cs="Times New Roman"/>
      <w:spacing w:val="-15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7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890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7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890"/>
    <w:rPr>
      <w:rFonts w:ascii="Times New Roman" w:eastAsia="Times New Roman" w:hAnsi="Times New Roman" w:cs="Times New Roman"/>
      <w:lang w:eastAsia="ru-RU"/>
    </w:rPr>
  </w:style>
  <w:style w:type="character" w:styleId="ab">
    <w:name w:val="endnote reference"/>
    <w:basedOn w:val="a0"/>
    <w:semiHidden/>
    <w:rsid w:val="00E74CEB"/>
    <w:rPr>
      <w:vertAlign w:val="superscript"/>
    </w:rPr>
  </w:style>
  <w:style w:type="paragraph" w:styleId="ac">
    <w:name w:val="endnote text"/>
    <w:basedOn w:val="a"/>
    <w:link w:val="ad"/>
    <w:semiHidden/>
    <w:rsid w:val="00646AE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646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5"/>
    <w:rsid w:val="00646AE5"/>
    <w:pPr>
      <w:ind w:left="340" w:hanging="340"/>
    </w:pPr>
    <w:rPr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0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4B00A5"/>
    <w:rPr>
      <w:b/>
      <w:bCs/>
    </w:rPr>
  </w:style>
  <w:style w:type="character" w:styleId="af0">
    <w:name w:val="Hyperlink"/>
    <w:basedOn w:val="a0"/>
    <w:uiPriority w:val="99"/>
    <w:unhideWhenUsed/>
    <w:rsid w:val="004B00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00A5"/>
  </w:style>
  <w:style w:type="paragraph" w:styleId="af1">
    <w:name w:val="Normal (Web)"/>
    <w:basedOn w:val="a"/>
    <w:uiPriority w:val="99"/>
    <w:semiHidden/>
    <w:unhideWhenUsed/>
    <w:rsid w:val="004B00A5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4B00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0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0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B00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00D70"/>
    <w:pPr>
      <w:spacing w:before="100" w:beforeAutospacing="1" w:after="100" w:afterAutospacing="1"/>
    </w:pPr>
  </w:style>
  <w:style w:type="character" w:customStyle="1" w:styleId="s1">
    <w:name w:val="s1"/>
    <w:basedOn w:val="a0"/>
    <w:rsid w:val="00C00D70"/>
  </w:style>
  <w:style w:type="paragraph" w:styleId="a3">
    <w:name w:val="Signature"/>
    <w:basedOn w:val="a"/>
    <w:link w:val="a4"/>
    <w:rsid w:val="007A1B8B"/>
    <w:pPr>
      <w:pBdr>
        <w:top w:val="single" w:sz="2" w:space="0" w:color="auto"/>
        <w:between w:val="single" w:sz="2" w:space="4" w:color="auto"/>
      </w:pBdr>
      <w:autoSpaceDE w:val="0"/>
      <w:autoSpaceDN w:val="0"/>
      <w:adjustRightInd w:val="0"/>
      <w:spacing w:line="204" w:lineRule="atLeast"/>
      <w:ind w:left="567" w:firstLine="340"/>
      <w:jc w:val="both"/>
    </w:pPr>
    <w:rPr>
      <w:color w:val="000000"/>
      <w:sz w:val="16"/>
      <w:szCs w:val="16"/>
    </w:rPr>
  </w:style>
  <w:style w:type="character" w:customStyle="1" w:styleId="a4">
    <w:name w:val="Подпись Знак"/>
    <w:basedOn w:val="a0"/>
    <w:link w:val="a3"/>
    <w:rsid w:val="007A1B8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rsid w:val="00672A07"/>
    <w:pPr>
      <w:autoSpaceDE w:val="0"/>
      <w:autoSpaceDN w:val="0"/>
      <w:adjustRightInd w:val="0"/>
      <w:spacing w:line="204" w:lineRule="atLeast"/>
      <w:ind w:firstLine="340"/>
      <w:jc w:val="both"/>
    </w:pPr>
    <w:rPr>
      <w:color w:val="000000"/>
      <w:spacing w:val="-15"/>
      <w:sz w:val="18"/>
      <w:szCs w:val="18"/>
    </w:rPr>
  </w:style>
  <w:style w:type="character" w:customStyle="1" w:styleId="a6">
    <w:name w:val="Основной текст Знак"/>
    <w:basedOn w:val="a0"/>
    <w:link w:val="a5"/>
    <w:rsid w:val="00672A07"/>
    <w:rPr>
      <w:rFonts w:ascii="Times New Roman" w:eastAsia="Times New Roman" w:hAnsi="Times New Roman" w:cs="Times New Roman"/>
      <w:color w:val="000000"/>
      <w:spacing w:val="-15"/>
      <w:sz w:val="18"/>
      <w:szCs w:val="18"/>
      <w:lang w:eastAsia="ru-RU"/>
    </w:rPr>
  </w:style>
  <w:style w:type="paragraph" w:customStyle="1" w:styleId="11">
    <w:name w:val="Основной текст 1"/>
    <w:rsid w:val="00EC7890"/>
    <w:pPr>
      <w:widowControl/>
      <w:autoSpaceDE w:val="0"/>
      <w:autoSpaceDN w:val="0"/>
      <w:adjustRightInd w:val="0"/>
      <w:spacing w:line="204" w:lineRule="atLeast"/>
      <w:jc w:val="both"/>
    </w:pPr>
    <w:rPr>
      <w:rFonts w:ascii="Times New Roman" w:eastAsia="Times New Roman" w:hAnsi="Times New Roman" w:cs="Times New Roman"/>
      <w:spacing w:val="-15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7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890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C7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890"/>
    <w:rPr>
      <w:rFonts w:ascii="Times New Roman" w:eastAsia="Times New Roman" w:hAnsi="Times New Roman" w:cs="Times New Roman"/>
      <w:lang w:eastAsia="ru-RU"/>
    </w:rPr>
  </w:style>
  <w:style w:type="character" w:styleId="ab">
    <w:name w:val="endnote reference"/>
    <w:basedOn w:val="a0"/>
    <w:semiHidden/>
    <w:rsid w:val="00E74CEB"/>
    <w:rPr>
      <w:vertAlign w:val="superscript"/>
    </w:rPr>
  </w:style>
  <w:style w:type="paragraph" w:styleId="ac">
    <w:name w:val="endnote text"/>
    <w:basedOn w:val="a"/>
    <w:link w:val="ad"/>
    <w:semiHidden/>
    <w:rsid w:val="00646AE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646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5"/>
    <w:rsid w:val="00646AE5"/>
    <w:pPr>
      <w:ind w:left="340" w:hanging="340"/>
    </w:pPr>
    <w:rPr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00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4B00A5"/>
    <w:rPr>
      <w:b/>
      <w:bCs/>
    </w:rPr>
  </w:style>
  <w:style w:type="character" w:styleId="af0">
    <w:name w:val="Hyperlink"/>
    <w:basedOn w:val="a0"/>
    <w:uiPriority w:val="99"/>
    <w:unhideWhenUsed/>
    <w:rsid w:val="004B00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00A5"/>
  </w:style>
  <w:style w:type="paragraph" w:styleId="af1">
    <w:name w:val="Normal (Web)"/>
    <w:basedOn w:val="a"/>
    <w:uiPriority w:val="99"/>
    <w:semiHidden/>
    <w:unhideWhenUsed/>
    <w:rsid w:val="004B00A5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4B00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0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ondsk.ru/news/2016/05/23/donbass-ni-mira-ni-vojny-4040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ondsk.ru/news/2016/05/24/horvatskiy-scenariy-dlya-donbassa-isklucheno-40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96B5-429E-4F10-924F-46A04D4E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42</cp:revision>
  <cp:lastPrinted>2017-02-02T15:45:00Z</cp:lastPrinted>
  <dcterms:created xsi:type="dcterms:W3CDTF">2016-05-22T12:03:00Z</dcterms:created>
  <dcterms:modified xsi:type="dcterms:W3CDTF">2018-05-05T17:59:00Z</dcterms:modified>
</cp:coreProperties>
</file>